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A5" w:rsidRPr="00B2358F" w:rsidRDefault="005F31A5" w:rsidP="00B2358F">
      <w:pPr>
        <w:pStyle w:val="Kop1"/>
        <w:numPr>
          <w:ilvl w:val="0"/>
          <w:numId w:val="0"/>
        </w:numPr>
        <w:rPr>
          <w:b/>
        </w:rPr>
      </w:pPr>
      <w:r w:rsidRPr="005F31A5">
        <w:rPr>
          <w:b/>
        </w:rPr>
        <w:t>Voor ouders:</w:t>
      </w:r>
    </w:p>
    <w:p w:rsidR="0098493F" w:rsidRDefault="005F31A5" w:rsidP="0014652F">
      <w:pPr>
        <w:pStyle w:val="Kop2"/>
        <w:numPr>
          <w:ilvl w:val="0"/>
          <w:numId w:val="0"/>
        </w:numPr>
      </w:pPr>
      <w:r>
        <w:t xml:space="preserve">Wat is de Verwijsindex? </w:t>
      </w:r>
    </w:p>
    <w:p w:rsidR="00A435A2" w:rsidRDefault="0014652F">
      <w:r>
        <w:t xml:space="preserve">De Verwijsindex is een </w:t>
      </w:r>
      <w:r w:rsidR="00421AF8">
        <w:t xml:space="preserve">digitaal </w:t>
      </w:r>
      <w:r>
        <w:t xml:space="preserve">systeem waarin professionals een signaal kunnen afgeven om hun zorg en/of betrokkenheid aan te geven bij uw zoon of dochter. </w:t>
      </w:r>
      <w:r w:rsidR="00A435A2">
        <w:t xml:space="preserve">Soms heeft uw kind ondersteuning nodig tijdens het opgroeien. Veelal zijn er niet direct zorgen om uw kind maar wil een professional laten zien dat hij of zij betrokken is bij uw gezin, zodat er goed kan worden samengewerkt. </w:t>
      </w:r>
      <w:r>
        <w:t xml:space="preserve">Het doel van de Verwijsindex is om professionals die betrokken zijn bij een gezin met elkaar in contact te brengen om samen met u de best passende ondersteuning/begeleiding te bieden. </w:t>
      </w:r>
    </w:p>
    <w:p w:rsidR="005F31A5" w:rsidRDefault="0014652F">
      <w:r>
        <w:t>H</w:t>
      </w:r>
      <w:r w:rsidR="0098493F">
        <w:t>et</w:t>
      </w:r>
      <w:r>
        <w:t xml:space="preserve"> kan</w:t>
      </w:r>
      <w:r w:rsidR="0098493F">
        <w:t xml:space="preserve"> gebeuren dat meerdere professionals tegelijkertijd bij uw kind</w:t>
      </w:r>
      <w:r>
        <w:t xml:space="preserve"> / jongere betrokken zijn en</w:t>
      </w:r>
      <w:r w:rsidR="0098493F">
        <w:t xml:space="preserve"> ondersteuning bieden. Het is belangrijk dat zij dit van elkaar weten zodat zij met elkaar kunnen samenwerken om u en uw kind</w:t>
      </w:r>
      <w:r>
        <w:t>/jongere</w:t>
      </w:r>
      <w:r w:rsidR="0098493F">
        <w:t xml:space="preserve"> op de juiste manier te ondersteunen of te begeleiden. </w:t>
      </w:r>
      <w:r>
        <w:t>Als dat het geval is dan krijgen zij een match. Soms zijn professionals bij meerdere kinderen /jongeren uit het zelfde gezin betrokken. Als dit het geval is ontstaat er een G</w:t>
      </w:r>
      <w:r w:rsidR="00081A6A">
        <w:t>e</w:t>
      </w:r>
      <w:r>
        <w:t xml:space="preserve">zinsmatch. Zo kunnen zij makkelijk met elkaar afstemmen en zorgen dat de plannen voor </w:t>
      </w:r>
      <w:r w:rsidR="007C3E2E">
        <w:t xml:space="preserve">de verschillende </w:t>
      </w:r>
      <w:r>
        <w:t xml:space="preserve">kinderen op elkaar worden afgestemd. Dat is wel zo fijn! </w:t>
      </w:r>
    </w:p>
    <w:p w:rsidR="005F31A5" w:rsidRDefault="005F31A5" w:rsidP="005F31A5">
      <w:pPr>
        <w:pStyle w:val="Kop2"/>
        <w:numPr>
          <w:ilvl w:val="0"/>
          <w:numId w:val="0"/>
        </w:numPr>
      </w:pPr>
      <w:r>
        <w:t xml:space="preserve">Waarom is er een Verwijsindex? </w:t>
      </w:r>
    </w:p>
    <w:p w:rsidR="005F31A5" w:rsidRDefault="005F31A5">
      <w:r>
        <w:t xml:space="preserve">Het komt voor dat er binnen uw gezin vanuit meerdere professionals hulp of begeleiding wordt geboden en dat ze dat niet altijd van elkaar weten. Dat is jammer, want hulp werkt pas echt als professionals met elkaar afstemmen/ samenwerken </w:t>
      </w:r>
      <w:r w:rsidR="00A435A2">
        <w:t>é</w:t>
      </w:r>
      <w:r>
        <w:t>n de problemen s</w:t>
      </w:r>
      <w:r w:rsidR="00A435A2">
        <w:t>a</w:t>
      </w:r>
      <w:r>
        <w:t xml:space="preserve">men met u oplossen. Zo zorgt de Verwijsindex voor overzicht, samenwerking en goede afspraken tussen de verschillende professionals en uw gezin. </w:t>
      </w:r>
    </w:p>
    <w:p w:rsidR="005F31A5" w:rsidRDefault="005F31A5" w:rsidP="005F31A5">
      <w:pPr>
        <w:pStyle w:val="Kop2"/>
        <w:numPr>
          <w:ilvl w:val="0"/>
          <w:numId w:val="0"/>
        </w:numPr>
      </w:pPr>
      <w:r>
        <w:t xml:space="preserve">Wat staat er in de Verwijsindex? </w:t>
      </w:r>
    </w:p>
    <w:p w:rsidR="005F31A5" w:rsidRDefault="00081A6A">
      <w:r>
        <w:t>Een professional geeft i</w:t>
      </w:r>
      <w:r w:rsidR="005F31A5">
        <w:t>n de Verwijsindex een signaal</w:t>
      </w:r>
      <w:r>
        <w:t xml:space="preserve"> af</w:t>
      </w:r>
      <w:r w:rsidR="005F31A5">
        <w:t>.</w:t>
      </w:r>
      <w:r>
        <w:t xml:space="preserve"> Dit omvat de gegevens van de professional en een koppeling van deze gegevens aan uw kind / jongere. Het signaal omvat niet wat er speelt of andere inhoudelijke informatie.  </w:t>
      </w:r>
    </w:p>
    <w:p w:rsidR="005F31A5" w:rsidRDefault="005F31A5" w:rsidP="005F31A5">
      <w:pPr>
        <w:pStyle w:val="Kop2"/>
        <w:numPr>
          <w:ilvl w:val="0"/>
          <w:numId w:val="0"/>
        </w:numPr>
      </w:pPr>
      <w:r>
        <w:t xml:space="preserve">Hoe werkt de Verwijsindex? </w:t>
      </w:r>
    </w:p>
    <w:p w:rsidR="005F31A5" w:rsidRDefault="005F31A5" w:rsidP="005F31A5">
      <w:r>
        <w:t xml:space="preserve">De verwijsindex is een systeem waarin </w:t>
      </w:r>
      <w:r w:rsidR="009B142F">
        <w:t>professionals</w:t>
      </w:r>
      <w:r>
        <w:t xml:space="preserve"> hun naam kunnen koppelen aan de naam van een kind/ jongere tussen de 0 en 23 jaar om hun betrokkenheid aan te geven. Als twee of meer </w:t>
      </w:r>
      <w:r w:rsidR="009B142F">
        <w:t>professionals</w:t>
      </w:r>
      <w:r>
        <w:t xml:space="preserve"> hun naam koppelen aan eenzelfde kind of jongere ontstaat een match. Ook als kinderen dezelfde ouder(s) hebben worden de </w:t>
      </w:r>
      <w:r w:rsidR="009B142F">
        <w:t>professionals</w:t>
      </w:r>
      <w:r>
        <w:t xml:space="preserve"> met elkaar </w:t>
      </w:r>
      <w:proofErr w:type="spellStart"/>
      <w:r w:rsidR="00FF6261">
        <w:t>gematched</w:t>
      </w:r>
      <w:proofErr w:type="spellEnd"/>
      <w:r>
        <w:t xml:space="preserve">. Bij een match ontvangen de </w:t>
      </w:r>
      <w:r w:rsidR="009B142F">
        <w:t>professionals</w:t>
      </w:r>
      <w:r>
        <w:t xml:space="preserve"> een e-mail van de verwijsindex met elkaars contactgegevens (naam, emailadres en telefoonnummer). Zij nemen, na toestemming van de ouders/ jongeren, contact op met elkaar én met de ouders en de jongere om te overleggen hoe ze het beste kunnen samenwerken.</w:t>
      </w:r>
    </w:p>
    <w:p w:rsidR="005F31A5" w:rsidRPr="005F31A5" w:rsidRDefault="005F31A5" w:rsidP="005F31A5"/>
    <w:p w:rsidR="005F31A5" w:rsidRDefault="005F31A5">
      <w:r>
        <w:t xml:space="preserve">Het signaal van een professional is maximaal 2 jaar actief. In de periode krijgt hij of zij een mailtje als iemand anders een signaal afgeeft. Na 2 jaar (of eerder) wordt het signaal inactief. Dan krijgt de professional </w:t>
      </w:r>
      <w:r w:rsidR="00682E40">
        <w:t xml:space="preserve">de vraag of hij zijn / haar actieve betrokkenheid opnieuw wilt aangeven. </w:t>
      </w:r>
      <w:r w:rsidR="00682E40">
        <w:br/>
        <w:t xml:space="preserve">Als het signaal inactief wordt is wel te zien dat deze professional ooit betrokken was bij uw kind / jongere </w:t>
      </w:r>
      <w:r>
        <w:t>maar</w:t>
      </w:r>
      <w:r w:rsidR="00682E40">
        <w:t xml:space="preserve"> omdat het signaal inactief is weten professionals dat dit in het verleden was. Als het signaal 5 jaar inactief is wordt het signaal verwijderd. </w:t>
      </w:r>
    </w:p>
    <w:p w:rsidR="005F31A5" w:rsidRDefault="005F31A5" w:rsidP="005F31A5">
      <w:pPr>
        <w:pStyle w:val="Kop2"/>
        <w:numPr>
          <w:ilvl w:val="0"/>
          <w:numId w:val="0"/>
        </w:numPr>
      </w:pPr>
      <w:r>
        <w:lastRenderedPageBreak/>
        <w:t xml:space="preserve">Informatieplicht en samen afstemmen </w:t>
      </w:r>
    </w:p>
    <w:p w:rsidR="005F31A5" w:rsidRDefault="005F31A5">
      <w:r>
        <w:t xml:space="preserve">Voordat het signaal wordt afgegeven in de Verwijsindex, vertelt de professional in principe dat hij/zij dit gaat doen. Doordat u eerst wordt geïnformeerd, weet u vaak als eerste dat er een match gaat ontstaan. U kunt dan al samen met de professional bespreken hoe en waar u de informatie wilt uitwisselen: schriftelijk, een gezinsbijeenkomst, een rondetafelgesprek of wellicht op een andere passende manier. </w:t>
      </w:r>
    </w:p>
    <w:p w:rsidR="005F31A5" w:rsidRDefault="005F31A5"/>
    <w:p w:rsidR="005F31A5" w:rsidRDefault="005F31A5" w:rsidP="005F31A5">
      <w:pPr>
        <w:pStyle w:val="Kop2"/>
        <w:numPr>
          <w:ilvl w:val="0"/>
          <w:numId w:val="0"/>
        </w:numPr>
      </w:pPr>
      <w:r>
        <w:t xml:space="preserve">Wie doet er mee met de Verwijsindex? </w:t>
      </w:r>
    </w:p>
    <w:p w:rsidR="005F31A5" w:rsidRDefault="005F31A5">
      <w:r>
        <w:t xml:space="preserve">Aan de Verwijsindex doen veel organisaties mee die zich bezig houden met </w:t>
      </w:r>
      <w:r w:rsidR="004A4CCB">
        <w:t xml:space="preserve">kinderen / jongeren (o </w:t>
      </w:r>
      <w:proofErr w:type="spellStart"/>
      <w:r w:rsidR="004A4CCB">
        <w:t>tm</w:t>
      </w:r>
      <w:proofErr w:type="spellEnd"/>
      <w:r w:rsidR="004A4CCB">
        <w:t xml:space="preserve"> 23 jaar). </w:t>
      </w:r>
      <w:r>
        <w:t xml:space="preserve">U kunt denken aan: verloskundigen, kinderopvang, huisartsen, peuterspeelzalen, onderwijs, jeugdgezondheidszorg, maatschappelijk werk, jongerenwerk, Veilig Thuis, Halt, leerplicht, thuisbegeleiding en jeugdhulpaanbieders. </w:t>
      </w:r>
    </w:p>
    <w:p w:rsidR="005F31A5" w:rsidRDefault="005F31A5"/>
    <w:p w:rsidR="005F31A5" w:rsidRDefault="005F31A5" w:rsidP="005F31A5">
      <w:pPr>
        <w:pStyle w:val="Kop2"/>
        <w:numPr>
          <w:ilvl w:val="0"/>
          <w:numId w:val="0"/>
        </w:numPr>
      </w:pPr>
      <w:r>
        <w:t>Privacy</w:t>
      </w:r>
    </w:p>
    <w:p w:rsidR="005F31A5" w:rsidRDefault="005F31A5">
      <w:r>
        <w:t>De verwijsindex is een digitaal systeem dat alleen toegank</w:t>
      </w:r>
      <w:r w:rsidR="004A4CCB">
        <w:t>elijk is voor hulpverleners en professionals</w:t>
      </w:r>
      <w:r>
        <w:t xml:space="preserve"> van organisaties die met k</w:t>
      </w:r>
      <w:r w:rsidR="004A4CCB">
        <w:t>inderen en/of jongeren werken. Professionals</w:t>
      </w:r>
      <w:r>
        <w:t xml:space="preserve"> die de verwijsindex gebruiken zullen ouders en kinderen/jongeren hierover altijd informeren. In de verwijsindex kunnen </w:t>
      </w:r>
      <w:r w:rsidR="009B142F">
        <w:t>professionals</w:t>
      </w:r>
      <w:r>
        <w:t xml:space="preserve"> enkel hun eigen naam koppelen aan de naam van een kind of jongere. En er kan geen inhoudelijke informatie over kinderen of jongeren in de verwijsindex gezet worden. ‘Matches’ </w:t>
      </w:r>
      <w:r w:rsidR="004A4CCB">
        <w:t xml:space="preserve">(signalen van andere </w:t>
      </w:r>
      <w:r w:rsidR="00421AF8">
        <w:t>professionals</w:t>
      </w:r>
      <w:r w:rsidR="004A4CCB">
        <w:t xml:space="preserve">) </w:t>
      </w:r>
      <w:r>
        <w:t xml:space="preserve">tussen </w:t>
      </w:r>
      <w:r w:rsidR="00421AF8">
        <w:t>professionals worden</w:t>
      </w:r>
      <w:r>
        <w:t xml:space="preserve"> alleen zichtbaar voor de </w:t>
      </w:r>
      <w:r w:rsidR="00421AF8">
        <w:t>professionals</w:t>
      </w:r>
      <w:r>
        <w:t xml:space="preserve"> die direct betrokken zijn bij dat betreffende kind. </w:t>
      </w:r>
      <w:r w:rsidR="00421AF8">
        <w:br/>
        <w:t xml:space="preserve">Er kan dus niet gezocht worden </w:t>
      </w:r>
      <w:r>
        <w:t>naar kinderen of jongeren in het systeem.</w:t>
      </w:r>
      <w:r w:rsidR="004A4CCB">
        <w:t xml:space="preserve"> Ze kunnen pas matchen (andere betrokkenen zien) als ze zelf hebben aangegeven betrokken te zijn bij uw kind / jeugdige.</w:t>
      </w:r>
      <w:r>
        <w:t xml:space="preserve"> De verwijsindex is met andere woorden een ‘contactsysteem’, een hulpmiddel voor </w:t>
      </w:r>
      <w:r w:rsidR="009B142F">
        <w:t>professionals</w:t>
      </w:r>
      <w:r>
        <w:t xml:space="preserve"> om elkaar makkelijker te vinden. In het contact tussen de </w:t>
      </w:r>
      <w:r w:rsidR="009B142F">
        <w:t>professionals</w:t>
      </w:r>
      <w:r>
        <w:t xml:space="preserve"> gelden de gebruikelijke regels voor privacy van de cliënt. Zo moet van tevoren altijd toestemming gevraagd worden aan ouders/jongeren om informatie uit te wisselen. Uiteraard is de privacy rondom de verwijsindex volgens de wet geregeld. De </w:t>
      </w:r>
      <w:r w:rsidR="009B142F">
        <w:t>professionals</w:t>
      </w:r>
      <w:r>
        <w:t xml:space="preserve"> en organisaties gaan zorgvuldig om met persoonlijke gegevens. </w:t>
      </w:r>
    </w:p>
    <w:p w:rsidR="005F31A5" w:rsidRDefault="005F31A5" w:rsidP="005F31A5">
      <w:pPr>
        <w:pStyle w:val="Kop2"/>
        <w:numPr>
          <w:ilvl w:val="0"/>
          <w:numId w:val="0"/>
        </w:numPr>
      </w:pPr>
      <w:r>
        <w:t xml:space="preserve">Verwijsindex gekoppeld aan de Landelijke Verwijsindex </w:t>
      </w:r>
    </w:p>
    <w:p w:rsidR="005F31A5" w:rsidRDefault="005F31A5">
      <w:r>
        <w:t xml:space="preserve">De Verwijsindex is regionaal ingedeeld, maar alle regionale Verwijsindexen zijn gekoppeld aan de landelijke Verwijsindex. Hierdoor kunnen er dus ook matches tussen professionals werkzaam in verschillende regio’s ontstaan. Ook hierin kan dus snel afstemming plaats vinden tussen professionals over passende hulp. </w:t>
      </w:r>
    </w:p>
    <w:p w:rsidR="005F31A5" w:rsidRDefault="005F31A5"/>
    <w:p w:rsidR="005F31A5" w:rsidRDefault="005F31A5" w:rsidP="005F31A5">
      <w:pPr>
        <w:pStyle w:val="Kop2"/>
        <w:numPr>
          <w:ilvl w:val="0"/>
          <w:numId w:val="0"/>
        </w:numPr>
        <w:ind w:left="576" w:hanging="576"/>
      </w:pPr>
      <w:r>
        <w:t xml:space="preserve">Wat zijn uw rechten? </w:t>
      </w:r>
    </w:p>
    <w:p w:rsidR="005F31A5" w:rsidRDefault="005F31A5">
      <w:bookmarkStart w:id="0" w:name="_GoBack"/>
      <w:bookmarkEnd w:id="0"/>
      <w:r>
        <w:t xml:space="preserve">Registratie in de Verwijsindex gebeurt in principe met kennisgeving aan de ouders en vanaf 12 jaar ook het kind zelf (vanaf 16 jaar alleen het kind zelf). </w:t>
      </w:r>
    </w:p>
    <w:p w:rsidR="005F31A5" w:rsidRDefault="005F31A5">
      <w:r>
        <w:t xml:space="preserve">Betrokkenen hebben een aantal andere rechten: </w:t>
      </w:r>
    </w:p>
    <w:p w:rsidR="005F31A5" w:rsidRDefault="005F31A5" w:rsidP="005F31A5">
      <w:pPr>
        <w:pStyle w:val="Lijstalinea"/>
        <w:numPr>
          <w:ilvl w:val="0"/>
          <w:numId w:val="14"/>
        </w:numPr>
      </w:pPr>
      <w:r>
        <w:t xml:space="preserve">Recht op inzage in de geregistreerde gegevens; </w:t>
      </w:r>
    </w:p>
    <w:p w:rsidR="005F31A5" w:rsidRDefault="005F31A5" w:rsidP="005F31A5">
      <w:pPr>
        <w:pStyle w:val="Lijstalinea"/>
        <w:numPr>
          <w:ilvl w:val="0"/>
          <w:numId w:val="14"/>
        </w:numPr>
      </w:pPr>
      <w:r>
        <w:t xml:space="preserve">Recht op correctie van de gegevens; </w:t>
      </w:r>
    </w:p>
    <w:p w:rsidR="005F31A5" w:rsidRDefault="005F31A5" w:rsidP="005F31A5">
      <w:pPr>
        <w:pStyle w:val="Lijstalinea"/>
        <w:numPr>
          <w:ilvl w:val="0"/>
          <w:numId w:val="14"/>
        </w:numPr>
      </w:pPr>
      <w:r>
        <w:t xml:space="preserve">Recht op een kopie van de gegevens; </w:t>
      </w:r>
    </w:p>
    <w:p w:rsidR="005F31A5" w:rsidRDefault="005F31A5" w:rsidP="005F31A5">
      <w:pPr>
        <w:pStyle w:val="Lijstalinea"/>
        <w:numPr>
          <w:ilvl w:val="0"/>
          <w:numId w:val="14"/>
        </w:numPr>
      </w:pPr>
      <w:r>
        <w:t xml:space="preserve">Recht op verzet. </w:t>
      </w:r>
    </w:p>
    <w:p w:rsidR="005F31A5" w:rsidRDefault="005F31A5"/>
    <w:p w:rsidR="0098493F" w:rsidRDefault="005F31A5" w:rsidP="00B2358F">
      <w:r>
        <w:t>U kunt via de gemeente waar u woonachtig bent gebruikmaken van uw rechten.</w:t>
      </w:r>
      <w:r w:rsidR="00B2358F">
        <w:t xml:space="preserve"> Benader het contactpersoon van uw gemeente hier omtrent. </w:t>
      </w:r>
    </w:p>
    <w:p w:rsidR="0098493F" w:rsidRDefault="0098493F" w:rsidP="0098493F"/>
    <w:p w:rsidR="0098493F" w:rsidRPr="0098493F" w:rsidRDefault="0098493F" w:rsidP="0098493F"/>
    <w:sectPr w:rsidR="0098493F" w:rsidRPr="00984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C4C"/>
    <w:multiLevelType w:val="multilevel"/>
    <w:tmpl w:val="555C3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6F1955"/>
    <w:multiLevelType w:val="hybridMultilevel"/>
    <w:tmpl w:val="019A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5C0542"/>
    <w:multiLevelType w:val="multilevel"/>
    <w:tmpl w:val="90209A18"/>
    <w:lvl w:ilvl="0">
      <w:start w:val="1"/>
      <w:numFmt w:val="decimal"/>
      <w:pStyle w:val="Kop1"/>
      <w:lvlText w:val="%1"/>
      <w:lvlJc w:val="left"/>
      <w:pPr>
        <w:ind w:left="432" w:hanging="432"/>
      </w:pPr>
      <w:rPr>
        <w:b w:val="0"/>
        <w:bCs w:val="0"/>
        <w:i w:val="0"/>
        <w:iCs w:val="0"/>
        <w:caps w:val="0"/>
        <w:smallCaps w:val="0"/>
        <w:strike w:val="0"/>
        <w:dstrike w:val="0"/>
        <w:noProof w:val="0"/>
        <w:vanish w:val="0"/>
        <w:color w:val="B24C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cs="Times New Roman"/>
        <w:b w:val="0"/>
        <w:iCs w:val="0"/>
        <w:caps w:val="0"/>
        <w:smallCaps w:val="0"/>
        <w:strike w:val="0"/>
        <w:dstrike w:val="0"/>
        <w:outline w:val="0"/>
        <w:shadow w:val="0"/>
        <w:emboss w:val="0"/>
        <w:imprint w:val="0"/>
        <w:noProof w:val="0"/>
        <w:vanish w:val="0"/>
        <w:color w:val="EE66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i/>
        <w:u w:val="none"/>
      </w:rPr>
    </w:lvl>
    <w:lvl w:ilvl="3">
      <w:start w:val="1"/>
      <w:numFmt w:val="decimal"/>
      <w:pStyle w:val="Kop4"/>
      <w:lvlText w:val="%1.%2.%3.%4"/>
      <w:lvlJc w:val="left"/>
      <w:pPr>
        <w:ind w:left="864" w:hanging="864"/>
      </w:pPr>
      <w:rPr>
        <w:rFonts w:cs="Times New Roman"/>
        <w:b w:val="0"/>
        <w:iCs w:val="0"/>
        <w:caps w:val="0"/>
        <w:smallCaps w:val="0"/>
        <w:strike w:val="0"/>
        <w:dstrike w:val="0"/>
        <w:outline w:val="0"/>
        <w:shadow w:val="0"/>
        <w:emboss w:val="0"/>
        <w:imprint w:val="0"/>
        <w:noProof w:val="0"/>
        <w:vanish w:val="0"/>
        <w:color w:val="EE66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2"/>
  </w:num>
  <w:num w:numId="12">
    <w:abstractNumId w:val="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A5"/>
    <w:rsid w:val="00013772"/>
    <w:rsid w:val="00081A6A"/>
    <w:rsid w:val="0014652F"/>
    <w:rsid w:val="00171068"/>
    <w:rsid w:val="001A4F39"/>
    <w:rsid w:val="00421AF8"/>
    <w:rsid w:val="004A4CCB"/>
    <w:rsid w:val="005F31A5"/>
    <w:rsid w:val="00682E40"/>
    <w:rsid w:val="007C3E2E"/>
    <w:rsid w:val="007D6ED3"/>
    <w:rsid w:val="00935636"/>
    <w:rsid w:val="00945154"/>
    <w:rsid w:val="0098493F"/>
    <w:rsid w:val="009B142F"/>
    <w:rsid w:val="00A435A2"/>
    <w:rsid w:val="00B2358F"/>
    <w:rsid w:val="00C4648E"/>
    <w:rsid w:val="00EF309B"/>
    <w:rsid w:val="00FE4682"/>
    <w:rsid w:val="00FF6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B055-4452-48EB-9051-2A06EF0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3772"/>
    <w:rPr>
      <w:rFonts w:ascii="Calibri Light" w:hAnsi="Calibri Light"/>
      <w:color w:val="555555"/>
      <w:sz w:val="22"/>
      <w:lang w:eastAsia="nl-NL"/>
    </w:rPr>
  </w:style>
  <w:style w:type="paragraph" w:styleId="Kop1">
    <w:name w:val="heading 1"/>
    <w:basedOn w:val="Standaard"/>
    <w:next w:val="Standaard"/>
    <w:link w:val="Kop1Char"/>
    <w:qFormat/>
    <w:rsid w:val="00171068"/>
    <w:pPr>
      <w:keepNext/>
      <w:keepLines/>
      <w:numPr>
        <w:numId w:val="13"/>
      </w:numPr>
      <w:spacing w:before="240" w:after="200" w:line="276" w:lineRule="auto"/>
      <w:outlineLvl w:val="0"/>
    </w:pPr>
    <w:rPr>
      <w:color w:val="B24C00"/>
      <w:sz w:val="32"/>
      <w:szCs w:val="32"/>
      <w:shd w:val="clear" w:color="auto" w:fill="FFFFFF"/>
    </w:rPr>
  </w:style>
  <w:style w:type="paragraph" w:styleId="Kop2">
    <w:name w:val="heading 2"/>
    <w:basedOn w:val="Standaard"/>
    <w:next w:val="Standaard"/>
    <w:link w:val="Kop2Char"/>
    <w:qFormat/>
    <w:rsid w:val="00171068"/>
    <w:pPr>
      <w:keepNext/>
      <w:keepLines/>
      <w:numPr>
        <w:ilvl w:val="1"/>
        <w:numId w:val="13"/>
      </w:numPr>
      <w:spacing w:before="200" w:after="200" w:line="276" w:lineRule="auto"/>
      <w:outlineLvl w:val="1"/>
    </w:pPr>
    <w:rPr>
      <w:bCs/>
      <w:color w:val="EE6600"/>
      <w:sz w:val="28"/>
      <w:szCs w:val="26"/>
      <w:shd w:val="clear" w:color="auto" w:fill="FFFFFF"/>
    </w:rPr>
  </w:style>
  <w:style w:type="paragraph" w:styleId="Kop3">
    <w:name w:val="heading 3"/>
    <w:basedOn w:val="Standaard"/>
    <w:next w:val="Standaard"/>
    <w:link w:val="Kop3Char"/>
    <w:qFormat/>
    <w:rsid w:val="00171068"/>
    <w:pPr>
      <w:keepNext/>
      <w:numPr>
        <w:ilvl w:val="2"/>
        <w:numId w:val="13"/>
      </w:numPr>
      <w:outlineLvl w:val="2"/>
    </w:pPr>
    <w:rPr>
      <w:rFonts w:ascii="Arial" w:hAnsi="Arial"/>
      <w:b/>
      <w:noProof/>
      <w:u w:val="single"/>
    </w:rPr>
  </w:style>
  <w:style w:type="paragraph" w:styleId="Kop4">
    <w:name w:val="heading 4"/>
    <w:basedOn w:val="Standaard"/>
    <w:next w:val="Standaard"/>
    <w:link w:val="Kop4Char"/>
    <w:unhideWhenUsed/>
    <w:qFormat/>
    <w:rsid w:val="00171068"/>
    <w:pPr>
      <w:keepNext/>
      <w:keepLines/>
      <w:numPr>
        <w:ilvl w:val="3"/>
        <w:numId w:val="13"/>
      </w:numPr>
      <w:spacing w:before="200"/>
      <w:outlineLvl w:val="3"/>
    </w:pPr>
    <w:rPr>
      <w:rFonts w:asciiTheme="majorHAnsi" w:eastAsiaTheme="majorEastAsia" w:hAnsiTheme="majorHAnsi" w:cstheme="majorBidi"/>
      <w:b/>
      <w:bCs/>
      <w:i/>
      <w:iCs/>
      <w:color w:val="DD7711" w:themeColor="accent1"/>
      <w:sz w:val="20"/>
    </w:rPr>
  </w:style>
  <w:style w:type="paragraph" w:styleId="Kop5">
    <w:name w:val="heading 5"/>
    <w:basedOn w:val="Standaard"/>
    <w:next w:val="Standaard"/>
    <w:link w:val="Kop5Char"/>
    <w:semiHidden/>
    <w:unhideWhenUsed/>
    <w:qFormat/>
    <w:rsid w:val="00171068"/>
    <w:pPr>
      <w:keepNext/>
      <w:keepLines/>
      <w:numPr>
        <w:ilvl w:val="4"/>
        <w:numId w:val="13"/>
      </w:numPr>
      <w:spacing w:before="200"/>
      <w:outlineLvl w:val="4"/>
    </w:pPr>
    <w:rPr>
      <w:rFonts w:asciiTheme="majorHAnsi" w:eastAsiaTheme="majorEastAsia" w:hAnsiTheme="majorHAnsi" w:cstheme="majorBidi"/>
      <w:color w:val="6D3A08" w:themeColor="accent1" w:themeShade="7F"/>
      <w:sz w:val="20"/>
    </w:rPr>
  </w:style>
  <w:style w:type="paragraph" w:styleId="Kop6">
    <w:name w:val="heading 6"/>
    <w:basedOn w:val="Standaard"/>
    <w:next w:val="Standaard"/>
    <w:link w:val="Kop6Char"/>
    <w:semiHidden/>
    <w:unhideWhenUsed/>
    <w:qFormat/>
    <w:rsid w:val="00171068"/>
    <w:pPr>
      <w:keepNext/>
      <w:keepLines/>
      <w:numPr>
        <w:ilvl w:val="5"/>
        <w:numId w:val="13"/>
      </w:numPr>
      <w:spacing w:before="200"/>
      <w:outlineLvl w:val="5"/>
    </w:pPr>
    <w:rPr>
      <w:rFonts w:asciiTheme="majorHAnsi" w:eastAsiaTheme="majorEastAsia" w:hAnsiTheme="majorHAnsi" w:cstheme="majorBidi"/>
      <w:i/>
      <w:iCs/>
      <w:color w:val="6D3A08" w:themeColor="accent1" w:themeShade="7F"/>
      <w:sz w:val="20"/>
    </w:rPr>
  </w:style>
  <w:style w:type="paragraph" w:styleId="Kop7">
    <w:name w:val="heading 7"/>
    <w:basedOn w:val="Standaard"/>
    <w:next w:val="Standaard"/>
    <w:link w:val="Kop7Char"/>
    <w:semiHidden/>
    <w:unhideWhenUsed/>
    <w:qFormat/>
    <w:rsid w:val="00171068"/>
    <w:pPr>
      <w:keepNext/>
      <w:keepLines/>
      <w:numPr>
        <w:ilvl w:val="6"/>
        <w:numId w:val="13"/>
      </w:numPr>
      <w:spacing w:before="200"/>
      <w:outlineLvl w:val="6"/>
    </w:pPr>
    <w:rPr>
      <w:rFonts w:asciiTheme="majorHAnsi" w:eastAsiaTheme="majorEastAsia" w:hAnsiTheme="majorHAnsi" w:cstheme="majorBidi"/>
      <w:i/>
      <w:iCs/>
      <w:color w:val="404040" w:themeColor="text1" w:themeTint="BF"/>
      <w:sz w:val="20"/>
    </w:rPr>
  </w:style>
  <w:style w:type="paragraph" w:styleId="Kop8">
    <w:name w:val="heading 8"/>
    <w:basedOn w:val="Standaard"/>
    <w:next w:val="Standaard"/>
    <w:link w:val="Kop8Char"/>
    <w:semiHidden/>
    <w:unhideWhenUsed/>
    <w:qFormat/>
    <w:rsid w:val="00171068"/>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qFormat/>
    <w:rsid w:val="00171068"/>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71068"/>
    <w:rPr>
      <w:rFonts w:ascii="Calibri Light" w:hAnsi="Calibri Light"/>
      <w:color w:val="B24C00"/>
      <w:sz w:val="32"/>
      <w:szCs w:val="32"/>
    </w:rPr>
  </w:style>
  <w:style w:type="character" w:customStyle="1" w:styleId="Kop2Char">
    <w:name w:val="Kop 2 Char"/>
    <w:basedOn w:val="Standaardalinea-lettertype"/>
    <w:link w:val="Kop2"/>
    <w:rsid w:val="00171068"/>
    <w:rPr>
      <w:rFonts w:ascii="Calibri Light" w:hAnsi="Calibri Light"/>
      <w:bCs/>
      <w:color w:val="EE6600"/>
      <w:sz w:val="28"/>
      <w:szCs w:val="26"/>
    </w:rPr>
  </w:style>
  <w:style w:type="character" w:customStyle="1" w:styleId="Kop3Char">
    <w:name w:val="Kop 3 Char"/>
    <w:basedOn w:val="Standaardalinea-lettertype"/>
    <w:link w:val="Kop3"/>
    <w:rsid w:val="001A4F39"/>
    <w:rPr>
      <w:rFonts w:ascii="Arial" w:hAnsi="Arial"/>
      <w:b/>
      <w:noProof/>
      <w:sz w:val="22"/>
      <w:u w:val="single"/>
    </w:rPr>
  </w:style>
  <w:style w:type="character" w:customStyle="1" w:styleId="Kop4Char">
    <w:name w:val="Kop 4 Char"/>
    <w:basedOn w:val="Standaardalinea-lettertype"/>
    <w:link w:val="Kop4"/>
    <w:rsid w:val="001A4F39"/>
    <w:rPr>
      <w:rFonts w:asciiTheme="majorHAnsi" w:eastAsiaTheme="majorEastAsia" w:hAnsiTheme="majorHAnsi" w:cstheme="majorBidi"/>
      <w:b/>
      <w:bCs/>
      <w:i/>
      <w:iCs/>
      <w:color w:val="DD7711" w:themeColor="accent1"/>
    </w:rPr>
  </w:style>
  <w:style w:type="character" w:customStyle="1" w:styleId="Kop5Char">
    <w:name w:val="Kop 5 Char"/>
    <w:basedOn w:val="Standaardalinea-lettertype"/>
    <w:link w:val="Kop5"/>
    <w:semiHidden/>
    <w:rsid w:val="001A4F39"/>
    <w:rPr>
      <w:rFonts w:asciiTheme="majorHAnsi" w:eastAsiaTheme="majorEastAsia" w:hAnsiTheme="majorHAnsi" w:cstheme="majorBidi"/>
      <w:color w:val="6D3A08" w:themeColor="accent1" w:themeShade="7F"/>
    </w:rPr>
  </w:style>
  <w:style w:type="character" w:customStyle="1" w:styleId="Kop6Char">
    <w:name w:val="Kop 6 Char"/>
    <w:basedOn w:val="Standaardalinea-lettertype"/>
    <w:link w:val="Kop6"/>
    <w:semiHidden/>
    <w:rsid w:val="001A4F39"/>
    <w:rPr>
      <w:rFonts w:asciiTheme="majorHAnsi" w:eastAsiaTheme="majorEastAsia" w:hAnsiTheme="majorHAnsi" w:cstheme="majorBidi"/>
      <w:i/>
      <w:iCs/>
      <w:color w:val="6D3A08" w:themeColor="accent1" w:themeShade="7F"/>
    </w:rPr>
  </w:style>
  <w:style w:type="character" w:customStyle="1" w:styleId="Kop7Char">
    <w:name w:val="Kop 7 Char"/>
    <w:basedOn w:val="Standaardalinea-lettertype"/>
    <w:link w:val="Kop7"/>
    <w:semiHidden/>
    <w:rsid w:val="001A4F3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1A4F39"/>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1A4F39"/>
    <w:rPr>
      <w:rFonts w:asciiTheme="majorHAnsi" w:eastAsiaTheme="majorEastAsia" w:hAnsiTheme="majorHAnsi" w:cstheme="majorBidi"/>
      <w:i/>
      <w:iCs/>
      <w:color w:val="404040" w:themeColor="text1" w:themeTint="BF"/>
    </w:rPr>
  </w:style>
  <w:style w:type="paragraph" w:styleId="Bijschrift">
    <w:name w:val="caption"/>
    <w:basedOn w:val="Standaard"/>
    <w:next w:val="Standaard"/>
    <w:unhideWhenUsed/>
    <w:qFormat/>
    <w:rsid w:val="001A4F39"/>
    <w:pPr>
      <w:spacing w:after="200"/>
    </w:pPr>
    <w:rPr>
      <w:b/>
      <w:bCs/>
      <w:sz w:val="16"/>
      <w:szCs w:val="18"/>
    </w:rPr>
  </w:style>
  <w:style w:type="paragraph" w:styleId="Titel">
    <w:name w:val="Title"/>
    <w:basedOn w:val="Standaard"/>
    <w:next w:val="Ondertitel"/>
    <w:link w:val="TitelChar"/>
    <w:uiPriority w:val="10"/>
    <w:qFormat/>
    <w:rsid w:val="001A4F39"/>
    <w:pPr>
      <w:spacing w:before="160" w:after="120" w:line="276" w:lineRule="auto"/>
      <w:ind w:left="-113"/>
    </w:pPr>
    <w:rPr>
      <w:rFonts w:ascii="Century Gothic" w:eastAsia="Century Gothic" w:hAnsi="Century Gothic"/>
      <w:b/>
      <w:sz w:val="24"/>
      <w:szCs w:val="24"/>
    </w:rPr>
  </w:style>
  <w:style w:type="character" w:customStyle="1" w:styleId="TitelChar">
    <w:name w:val="Titel Char"/>
    <w:basedOn w:val="Standaardalinea-lettertype"/>
    <w:link w:val="Titel"/>
    <w:uiPriority w:val="10"/>
    <w:rsid w:val="001A4F39"/>
    <w:rPr>
      <w:rFonts w:ascii="Century Gothic" w:eastAsia="Century Gothic" w:hAnsi="Century Gothic"/>
      <w:b/>
      <w:sz w:val="24"/>
      <w:szCs w:val="24"/>
    </w:rPr>
  </w:style>
  <w:style w:type="paragraph" w:styleId="Ondertitel">
    <w:name w:val="Subtitle"/>
    <w:basedOn w:val="Titel"/>
    <w:next w:val="Standaard"/>
    <w:link w:val="OndertitelChar"/>
    <w:uiPriority w:val="11"/>
    <w:qFormat/>
    <w:rsid w:val="001A4F39"/>
    <w:pPr>
      <w:spacing w:before="120"/>
    </w:pPr>
    <w:rPr>
      <w:rFonts w:eastAsiaTheme="minorEastAsia" w:cstheme="minorBidi"/>
      <w:sz w:val="18"/>
    </w:rPr>
  </w:style>
  <w:style w:type="character" w:customStyle="1" w:styleId="OndertitelChar">
    <w:name w:val="Ondertitel Char"/>
    <w:basedOn w:val="Standaardalinea-lettertype"/>
    <w:link w:val="Ondertitel"/>
    <w:uiPriority w:val="11"/>
    <w:rsid w:val="001A4F39"/>
    <w:rPr>
      <w:rFonts w:ascii="Century Gothic" w:eastAsiaTheme="minorEastAsia" w:hAnsi="Century Gothic" w:cstheme="minorBidi"/>
      <w:b/>
      <w:sz w:val="18"/>
      <w:szCs w:val="24"/>
    </w:rPr>
  </w:style>
  <w:style w:type="character" w:styleId="Zwaar">
    <w:name w:val="Strong"/>
    <w:uiPriority w:val="22"/>
    <w:qFormat/>
    <w:rsid w:val="001A4F39"/>
    <w:rPr>
      <w:b/>
      <w:bCs/>
    </w:rPr>
  </w:style>
  <w:style w:type="paragraph" w:styleId="Geenafstand">
    <w:name w:val="No Spacing"/>
    <w:uiPriority w:val="1"/>
    <w:qFormat/>
    <w:rsid w:val="001A4F39"/>
    <w:rPr>
      <w:rFonts w:ascii="Arial" w:hAnsi="Arial"/>
    </w:rPr>
  </w:style>
  <w:style w:type="paragraph" w:styleId="Lijstalinea">
    <w:name w:val="List Paragraph"/>
    <w:basedOn w:val="Standaard"/>
    <w:uiPriority w:val="34"/>
    <w:qFormat/>
    <w:rsid w:val="001A4F39"/>
    <w:pPr>
      <w:spacing w:after="200" w:line="276" w:lineRule="auto"/>
      <w:ind w:left="720"/>
      <w:contextualSpacing/>
    </w:pPr>
    <w:rPr>
      <w:rFonts w:eastAsia="Calibri"/>
      <w:szCs w:val="22"/>
    </w:rPr>
  </w:style>
  <w:style w:type="paragraph" w:styleId="Citaat">
    <w:name w:val="Quote"/>
    <w:basedOn w:val="Standaard"/>
    <w:next w:val="Standaard"/>
    <w:link w:val="CitaatChar"/>
    <w:uiPriority w:val="29"/>
    <w:qFormat/>
    <w:rsid w:val="001A4F39"/>
    <w:rPr>
      <w:rFonts w:ascii="Arial" w:hAnsi="Arial"/>
      <w:i/>
      <w:iCs/>
      <w:color w:val="000000" w:themeColor="text1"/>
      <w:sz w:val="20"/>
    </w:rPr>
  </w:style>
  <w:style w:type="character" w:customStyle="1" w:styleId="CitaatChar">
    <w:name w:val="Citaat Char"/>
    <w:basedOn w:val="Standaardalinea-lettertype"/>
    <w:link w:val="Citaat"/>
    <w:uiPriority w:val="29"/>
    <w:rsid w:val="001A4F39"/>
    <w:rPr>
      <w:rFonts w:ascii="Arial" w:hAnsi="Arial"/>
      <w:i/>
      <w:iCs/>
      <w:color w:val="000000" w:themeColor="text1"/>
    </w:rPr>
  </w:style>
  <w:style w:type="paragraph" w:styleId="Kopvaninhoudsopgave">
    <w:name w:val="TOC Heading"/>
    <w:basedOn w:val="Kop1"/>
    <w:next w:val="Standaard"/>
    <w:uiPriority w:val="39"/>
    <w:unhideWhenUsed/>
    <w:qFormat/>
    <w:rsid w:val="001A4F39"/>
    <w:pPr>
      <w:numPr>
        <w:numId w:val="0"/>
      </w:numPr>
      <w:spacing w:before="480"/>
      <w:outlineLvl w:val="9"/>
    </w:pPr>
    <w:rPr>
      <w:rFonts w:asciiTheme="majorHAnsi" w:eastAsiaTheme="majorEastAsia" w:hAnsiTheme="majorHAnsi" w:cstheme="majorBidi"/>
      <w:bCs/>
      <w:color w:val="A5580C"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ULTIsignaal">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6F1E2-E466-4053-A6DC-9C41C38363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329B4-4A89-4F8D-AD13-AE221517BE83}">
  <ds:schemaRefs>
    <ds:schemaRef ds:uri="http://schemas.microsoft.com/sharepoint/v3/contenttype/forms"/>
  </ds:schemaRefs>
</ds:datastoreItem>
</file>

<file path=customXml/itemProps3.xml><?xml version="1.0" encoding="utf-8"?>
<ds:datastoreItem xmlns:ds="http://schemas.openxmlformats.org/officeDocument/2006/customXml" ds:itemID="{D203565F-F890-44ED-9C31-4E2C1D95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Burema</dc:creator>
  <cp:keywords/>
  <dc:description/>
  <cp:lastModifiedBy>Latifa Atmani</cp:lastModifiedBy>
  <cp:revision>2</cp:revision>
  <dcterms:created xsi:type="dcterms:W3CDTF">2019-12-20T13:10:00Z</dcterms:created>
  <dcterms:modified xsi:type="dcterms:W3CDTF">2019-12-20T13:10:00Z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